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F0B9" w14:textId="15E894DC" w:rsidR="00DE6876" w:rsidRPr="0075673B" w:rsidRDefault="00DE6876" w:rsidP="0075673B">
      <w:pPr>
        <w:rPr>
          <w:b/>
          <w:bCs/>
          <w:sz w:val="32"/>
          <w:szCs w:val="32"/>
        </w:rPr>
      </w:pPr>
      <w:r w:rsidRPr="0075673B">
        <w:rPr>
          <w:b/>
          <w:bCs/>
          <w:sz w:val="32"/>
          <w:szCs w:val="32"/>
        </w:rPr>
        <w:t>Załącznik nr 4</w:t>
      </w:r>
    </w:p>
    <w:p w14:paraId="24E062E9" w14:textId="606A86AB" w:rsidR="0083670F" w:rsidRPr="0075673B" w:rsidRDefault="0083670F" w:rsidP="0075673B">
      <w:pPr>
        <w:rPr>
          <w:b/>
          <w:bCs/>
          <w:sz w:val="28"/>
          <w:szCs w:val="28"/>
        </w:rPr>
      </w:pPr>
      <w:r w:rsidRPr="0075673B">
        <w:rPr>
          <w:b/>
          <w:bCs/>
          <w:sz w:val="28"/>
          <w:szCs w:val="28"/>
        </w:rPr>
        <w:t xml:space="preserve">Regulamin korzystania z </w:t>
      </w:r>
      <w:r w:rsidR="002303B3" w:rsidRPr="0075673B">
        <w:rPr>
          <w:b/>
          <w:bCs/>
          <w:sz w:val="28"/>
          <w:szCs w:val="28"/>
        </w:rPr>
        <w:t>t</w:t>
      </w:r>
      <w:r w:rsidRPr="0075673B">
        <w:rPr>
          <w:b/>
          <w:bCs/>
          <w:sz w:val="28"/>
          <w:szCs w:val="28"/>
        </w:rPr>
        <w:t xml:space="preserve">ężni solankowej </w:t>
      </w:r>
      <w:r w:rsidR="001C21F7" w:rsidRPr="0075673B">
        <w:rPr>
          <w:b/>
          <w:bCs/>
          <w:sz w:val="28"/>
          <w:szCs w:val="28"/>
        </w:rPr>
        <w:t xml:space="preserve">zlokalizowanej przy </w:t>
      </w:r>
      <w:r w:rsidRPr="0075673B">
        <w:rPr>
          <w:b/>
          <w:bCs/>
          <w:sz w:val="28"/>
          <w:szCs w:val="28"/>
        </w:rPr>
        <w:t>ul. Lipow</w:t>
      </w:r>
      <w:r w:rsidR="001C21F7" w:rsidRPr="0075673B">
        <w:rPr>
          <w:b/>
          <w:bCs/>
          <w:sz w:val="28"/>
          <w:szCs w:val="28"/>
        </w:rPr>
        <w:t>ej</w:t>
      </w:r>
      <w:r w:rsidRPr="0075673B">
        <w:rPr>
          <w:b/>
          <w:bCs/>
          <w:sz w:val="28"/>
          <w:szCs w:val="28"/>
        </w:rPr>
        <w:t xml:space="preserve"> w Modlnicy</w:t>
      </w:r>
    </w:p>
    <w:p w14:paraId="7D776564" w14:textId="60054E1B" w:rsidR="0083670F" w:rsidRPr="0083670F" w:rsidRDefault="0083670F" w:rsidP="0083670F">
      <w:pPr>
        <w:numPr>
          <w:ilvl w:val="0"/>
          <w:numId w:val="1"/>
        </w:numPr>
      </w:pPr>
      <w:r w:rsidRPr="0083670F">
        <w:t xml:space="preserve">Tężnia solankowa jest ogólnodostępnym </w:t>
      </w:r>
      <w:r>
        <w:t>obiektem</w:t>
      </w:r>
      <w:r w:rsidRPr="0083670F">
        <w:t xml:space="preserve"> relaksacyjnym </w:t>
      </w:r>
      <w:r w:rsidR="00A71D1F">
        <w:t>użyteczności publicznej Gminy Wielka Wieś, jest</w:t>
      </w:r>
      <w:r w:rsidRPr="0083670F">
        <w:t xml:space="preserve"> naturalnym inhalatorium jodowym i stanowi integralną cz</w:t>
      </w:r>
      <w:r w:rsidRPr="003C49A9">
        <w:rPr>
          <w:color w:val="000000" w:themeColor="text1"/>
        </w:rPr>
        <w:t>ęść Placu zabaw,</w:t>
      </w:r>
      <w:r w:rsidR="003C49A9" w:rsidRPr="003C49A9">
        <w:rPr>
          <w:color w:val="000000" w:themeColor="text1"/>
        </w:rPr>
        <w:t xml:space="preserve"> zlokalizowanego przy </w:t>
      </w:r>
      <w:r w:rsidR="007E0EFF">
        <w:rPr>
          <w:color w:val="000000" w:themeColor="text1"/>
        </w:rPr>
        <w:br/>
      </w:r>
      <w:r w:rsidR="003C49A9" w:rsidRPr="003C49A9">
        <w:rPr>
          <w:color w:val="000000" w:themeColor="text1"/>
        </w:rPr>
        <w:t xml:space="preserve">ul. </w:t>
      </w:r>
      <w:r w:rsidR="007E0EFF">
        <w:rPr>
          <w:color w:val="000000" w:themeColor="text1"/>
        </w:rPr>
        <w:t>L</w:t>
      </w:r>
      <w:r w:rsidR="003C49A9" w:rsidRPr="003C49A9">
        <w:rPr>
          <w:color w:val="000000" w:themeColor="text1"/>
        </w:rPr>
        <w:t>ipowej w Modlnicy,</w:t>
      </w:r>
      <w:r w:rsidRPr="003C49A9">
        <w:rPr>
          <w:color w:val="000000" w:themeColor="text1"/>
        </w:rPr>
        <w:t xml:space="preserve"> </w:t>
      </w:r>
      <w:r w:rsidRPr="0083670F">
        <w:t>na którego terenie obowiązuje Regulamin P</w:t>
      </w:r>
      <w:r w:rsidR="007E137B">
        <w:t>lacu zabaw Gminy Wielka Wieś</w:t>
      </w:r>
      <w:r w:rsidRPr="0083670F">
        <w:t>.</w:t>
      </w:r>
    </w:p>
    <w:p w14:paraId="59004A91" w14:textId="77777777" w:rsidR="00A71D1F" w:rsidRDefault="00A71D1F" w:rsidP="0083670F">
      <w:pPr>
        <w:numPr>
          <w:ilvl w:val="0"/>
          <w:numId w:val="1"/>
        </w:numPr>
      </w:pPr>
      <w:r>
        <w:t>T</w:t>
      </w:r>
      <w:r w:rsidRPr="00A71D1F">
        <w:t>ężnia czynna jest sezonowo przez cały tydzień w godzinach wyznaczonych przez zarządcę obiektu</w:t>
      </w:r>
      <w:r>
        <w:t>, tj.:</w:t>
      </w:r>
    </w:p>
    <w:p w14:paraId="5CBB981D" w14:textId="344BF42E" w:rsidR="00A71D1F" w:rsidRDefault="00A71D1F" w:rsidP="00A71D1F">
      <w:pPr>
        <w:pStyle w:val="Akapitzlist"/>
        <w:numPr>
          <w:ilvl w:val="0"/>
          <w:numId w:val="3"/>
        </w:numPr>
      </w:pPr>
      <w:r>
        <w:t xml:space="preserve">od 1 kwietnia do 30 września w godz. od 9:00 do 12:00 oraz od 16:00 do 20:00, </w:t>
      </w:r>
    </w:p>
    <w:p w14:paraId="7F5A0604" w14:textId="77777777" w:rsidR="00A71D1F" w:rsidRDefault="00A71D1F" w:rsidP="00A71D1F">
      <w:pPr>
        <w:pStyle w:val="Akapitzlist"/>
        <w:numPr>
          <w:ilvl w:val="0"/>
          <w:numId w:val="3"/>
        </w:numPr>
      </w:pPr>
      <w:r>
        <w:t xml:space="preserve">od 1 października do 14 listopada w godz. 10:00 do 19:00, </w:t>
      </w:r>
    </w:p>
    <w:p w14:paraId="2B730663" w14:textId="3BA5C1D0" w:rsidR="00A71D1F" w:rsidRPr="0083670F" w:rsidRDefault="00A71D1F" w:rsidP="00A71D1F">
      <w:pPr>
        <w:pStyle w:val="Akapitzlist"/>
        <w:numPr>
          <w:ilvl w:val="0"/>
          <w:numId w:val="3"/>
        </w:numPr>
      </w:pPr>
      <w:r>
        <w:t>od 15 listopada do 31 marca – tężnia wyłączona z użytkowania na okres zimowy,</w:t>
      </w:r>
    </w:p>
    <w:p w14:paraId="1E8491D9" w14:textId="77777777" w:rsidR="0083670F" w:rsidRPr="0083670F" w:rsidRDefault="0083670F" w:rsidP="0083670F">
      <w:pPr>
        <w:numPr>
          <w:ilvl w:val="0"/>
          <w:numId w:val="1"/>
        </w:numPr>
      </w:pPr>
      <w:r w:rsidRPr="0083670F">
        <w:t>Zalecany jednorazowy seans tężni solankowej powinien trwać od 45 do 60 minut.</w:t>
      </w:r>
    </w:p>
    <w:p w14:paraId="5EDBE156" w14:textId="77777777" w:rsidR="0083670F" w:rsidRPr="0083670F" w:rsidRDefault="0083670F" w:rsidP="0083670F">
      <w:pPr>
        <w:numPr>
          <w:ilvl w:val="0"/>
          <w:numId w:val="1"/>
        </w:numPr>
      </w:pPr>
      <w:r w:rsidRPr="0083670F">
        <w:t>Z tężni solankowej mogą korzystać tylko osoby zdrowe lub osoby, których dolegliwości nie stanowią przeciwwskazań do korzystania z zabiegów.</w:t>
      </w:r>
    </w:p>
    <w:p w14:paraId="3460803A" w14:textId="77777777" w:rsidR="0083670F" w:rsidRPr="0083670F" w:rsidRDefault="0083670F" w:rsidP="0083670F">
      <w:pPr>
        <w:numPr>
          <w:ilvl w:val="0"/>
          <w:numId w:val="1"/>
        </w:numPr>
      </w:pPr>
      <w:r w:rsidRPr="0083670F">
        <w:t>Dzieci i młodzież do lat 10 mogą przebywać na terenie tężni solankowej pod opieką osób pełnoletnich. Osoby, pod których opieką znajdują się osoby małoletnie (dzieci), odpowiadają za dzieci oraz wszelkie szkody przez nie spowodowane.</w:t>
      </w:r>
    </w:p>
    <w:p w14:paraId="7523FEB1" w14:textId="77777777" w:rsidR="0083670F" w:rsidRPr="0083670F" w:rsidRDefault="0083670F" w:rsidP="0083670F">
      <w:pPr>
        <w:numPr>
          <w:ilvl w:val="0"/>
          <w:numId w:val="1"/>
        </w:numPr>
      </w:pPr>
      <w:r w:rsidRPr="0083670F">
        <w:t xml:space="preserve">W przypadku grup zorganizowanych na jednego opiekuna grupy nie może przypadać więcej niż: </w:t>
      </w:r>
    </w:p>
    <w:p w14:paraId="00EED367" w14:textId="77777777" w:rsidR="0083670F" w:rsidRPr="0083670F" w:rsidRDefault="0083670F" w:rsidP="0083670F">
      <w:pPr>
        <w:numPr>
          <w:ilvl w:val="1"/>
          <w:numId w:val="1"/>
        </w:numPr>
      </w:pPr>
      <w:r w:rsidRPr="0083670F">
        <w:t>15 niepełnoletnich uczestników lub pełnoletnich uczniów,</w:t>
      </w:r>
    </w:p>
    <w:p w14:paraId="6530B6B6" w14:textId="77777777" w:rsidR="0083670F" w:rsidRPr="0083670F" w:rsidRDefault="0083670F" w:rsidP="0083670F">
      <w:pPr>
        <w:numPr>
          <w:ilvl w:val="1"/>
          <w:numId w:val="1"/>
        </w:numPr>
      </w:pPr>
      <w:r w:rsidRPr="0083670F">
        <w:t>10 uczestników w wieku przedszkolnym.</w:t>
      </w:r>
    </w:p>
    <w:p w14:paraId="18DE48F9" w14:textId="77777777" w:rsidR="0083670F" w:rsidRPr="0083670F" w:rsidRDefault="0083670F" w:rsidP="0083670F">
      <w:pPr>
        <w:numPr>
          <w:ilvl w:val="0"/>
          <w:numId w:val="1"/>
        </w:numPr>
      </w:pPr>
      <w:r w:rsidRPr="0083670F">
        <w:t xml:space="preserve">Z tężni solankowej nie mogą korzystać osoby: </w:t>
      </w:r>
    </w:p>
    <w:p w14:paraId="22A24A22" w14:textId="77777777" w:rsidR="0083670F" w:rsidRPr="0083670F" w:rsidRDefault="0083670F" w:rsidP="0083670F">
      <w:pPr>
        <w:numPr>
          <w:ilvl w:val="1"/>
          <w:numId w:val="1"/>
        </w:numPr>
      </w:pPr>
      <w:r w:rsidRPr="0083670F">
        <w:t>po przebytym zawale mięśnia sercowego,</w:t>
      </w:r>
    </w:p>
    <w:p w14:paraId="4702AD61" w14:textId="77777777" w:rsidR="0083670F" w:rsidRPr="0083670F" w:rsidRDefault="0083670F" w:rsidP="0083670F">
      <w:pPr>
        <w:numPr>
          <w:ilvl w:val="1"/>
          <w:numId w:val="1"/>
        </w:numPr>
      </w:pPr>
      <w:r w:rsidRPr="0083670F">
        <w:t>z niewydolnością naczyń wieńcowych serca, zwłaszcza osoby z niskim ciśnieniem tętniczym,</w:t>
      </w:r>
    </w:p>
    <w:p w14:paraId="4CC23077" w14:textId="77777777" w:rsidR="0083670F" w:rsidRPr="0083670F" w:rsidRDefault="0083670F" w:rsidP="0083670F">
      <w:pPr>
        <w:numPr>
          <w:ilvl w:val="1"/>
          <w:numId w:val="1"/>
        </w:numPr>
      </w:pPr>
      <w:r w:rsidRPr="0083670F">
        <w:t>z ostrym stanem zapalnym i gorączką,</w:t>
      </w:r>
    </w:p>
    <w:p w14:paraId="50CA10FB" w14:textId="77777777" w:rsidR="0083670F" w:rsidRPr="0083670F" w:rsidRDefault="0083670F" w:rsidP="0083670F">
      <w:pPr>
        <w:numPr>
          <w:ilvl w:val="1"/>
          <w:numId w:val="1"/>
        </w:numPr>
      </w:pPr>
      <w:r w:rsidRPr="0083670F">
        <w:t>z nadczynnością tarczycy,</w:t>
      </w:r>
    </w:p>
    <w:p w14:paraId="72FA5F85" w14:textId="77777777" w:rsidR="0083670F" w:rsidRPr="0083670F" w:rsidRDefault="0083670F" w:rsidP="0083670F">
      <w:pPr>
        <w:numPr>
          <w:ilvl w:val="1"/>
          <w:numId w:val="1"/>
        </w:numPr>
      </w:pPr>
      <w:r w:rsidRPr="0083670F">
        <w:t>nadwrażliwe na jony zawarte w solance.</w:t>
      </w:r>
    </w:p>
    <w:p w14:paraId="0A2F7891" w14:textId="1B76E2F6" w:rsidR="0083670F" w:rsidRPr="0083670F" w:rsidRDefault="0083670F" w:rsidP="0083670F">
      <w:pPr>
        <w:numPr>
          <w:ilvl w:val="0"/>
          <w:numId w:val="1"/>
        </w:numPr>
      </w:pPr>
      <w:r w:rsidRPr="0083670F">
        <w:t xml:space="preserve">Wszelkie pogorszenie samopoczucia w trakcie korzystania z tężni solankowej </w:t>
      </w:r>
      <w:r w:rsidR="007E137B">
        <w:t xml:space="preserve">lub po zakończonej inhalacji, </w:t>
      </w:r>
      <w:r w:rsidRPr="0083670F">
        <w:t>należy niezwłocznie zgłasza</w:t>
      </w:r>
      <w:r w:rsidR="007E137B">
        <w:t>ć służbie zdrowia</w:t>
      </w:r>
      <w:r w:rsidRPr="0083670F">
        <w:t>.</w:t>
      </w:r>
    </w:p>
    <w:p w14:paraId="5A3100E8" w14:textId="77777777" w:rsidR="0083670F" w:rsidRPr="0083670F" w:rsidRDefault="0083670F" w:rsidP="0083670F">
      <w:pPr>
        <w:numPr>
          <w:ilvl w:val="0"/>
          <w:numId w:val="1"/>
        </w:numPr>
      </w:pPr>
      <w:r w:rsidRPr="0083670F">
        <w:t xml:space="preserve">Na terenie tężni solankowej zabrania się: </w:t>
      </w:r>
    </w:p>
    <w:p w14:paraId="24FCA0E5" w14:textId="77777777" w:rsidR="0083670F" w:rsidRPr="0083670F" w:rsidRDefault="0083670F" w:rsidP="0083670F">
      <w:pPr>
        <w:numPr>
          <w:ilvl w:val="1"/>
          <w:numId w:val="1"/>
        </w:numPr>
      </w:pPr>
      <w:r w:rsidRPr="0083670F">
        <w:t>spożywania posiłków,</w:t>
      </w:r>
    </w:p>
    <w:p w14:paraId="0AB53827" w14:textId="77777777" w:rsidR="0083670F" w:rsidRPr="0083670F" w:rsidRDefault="0083670F" w:rsidP="0083670F">
      <w:pPr>
        <w:numPr>
          <w:ilvl w:val="1"/>
          <w:numId w:val="1"/>
        </w:numPr>
      </w:pPr>
      <w:r w:rsidRPr="0083670F">
        <w:t>picia napojów,</w:t>
      </w:r>
    </w:p>
    <w:p w14:paraId="6537E42B" w14:textId="77777777" w:rsidR="0083670F" w:rsidRDefault="0083670F" w:rsidP="0083670F">
      <w:pPr>
        <w:numPr>
          <w:ilvl w:val="1"/>
          <w:numId w:val="1"/>
        </w:numPr>
      </w:pPr>
      <w:r w:rsidRPr="0083670F">
        <w:t>spożywania alkoholu,</w:t>
      </w:r>
    </w:p>
    <w:p w14:paraId="0693395A" w14:textId="3FD46C81" w:rsidR="00A71D1F" w:rsidRDefault="00A71D1F" w:rsidP="0083670F">
      <w:pPr>
        <w:numPr>
          <w:ilvl w:val="1"/>
          <w:numId w:val="1"/>
        </w:numPr>
      </w:pPr>
      <w:r>
        <w:t xml:space="preserve">palenia tytoniu i produktów </w:t>
      </w:r>
      <w:r w:rsidR="002303B3">
        <w:t>pochodzenia tytoniowego w tym e-papierosów</w:t>
      </w:r>
      <w:r>
        <w:t>,</w:t>
      </w:r>
    </w:p>
    <w:p w14:paraId="71031C4F" w14:textId="0704D0E8" w:rsidR="00A71D1F" w:rsidRPr="0083670F" w:rsidRDefault="00A71D1F" w:rsidP="0083670F">
      <w:pPr>
        <w:numPr>
          <w:ilvl w:val="1"/>
          <w:numId w:val="1"/>
        </w:numPr>
      </w:pPr>
      <w:r>
        <w:t>zażywania środków odurzających,</w:t>
      </w:r>
    </w:p>
    <w:p w14:paraId="2C3921B6" w14:textId="77777777" w:rsidR="0083670F" w:rsidRPr="0083670F" w:rsidRDefault="0083670F" w:rsidP="0083670F">
      <w:pPr>
        <w:numPr>
          <w:ilvl w:val="1"/>
          <w:numId w:val="1"/>
        </w:numPr>
      </w:pPr>
      <w:r w:rsidRPr="0083670F">
        <w:t>samowolnego ingerowania w pracę zainstalowanych urządzeń i sprzętu,</w:t>
      </w:r>
    </w:p>
    <w:p w14:paraId="26CEFFA9" w14:textId="432986A2" w:rsidR="0083670F" w:rsidRDefault="0083670F" w:rsidP="0083670F">
      <w:pPr>
        <w:numPr>
          <w:ilvl w:val="1"/>
          <w:numId w:val="1"/>
        </w:numPr>
      </w:pPr>
      <w:r w:rsidRPr="0083670F">
        <w:t xml:space="preserve">niszczenia i zaśmiecania </w:t>
      </w:r>
      <w:r w:rsidR="007E137B">
        <w:t>tężni i architektury jej podlegającej</w:t>
      </w:r>
      <w:r w:rsidRPr="0083670F">
        <w:t>,</w:t>
      </w:r>
    </w:p>
    <w:p w14:paraId="7B87FD96" w14:textId="6B37D07E" w:rsidR="002303B3" w:rsidRDefault="002303B3" w:rsidP="002303B3">
      <w:pPr>
        <w:numPr>
          <w:ilvl w:val="1"/>
          <w:numId w:val="1"/>
        </w:numPr>
      </w:pPr>
      <w:r>
        <w:t>wlewania płynów do niecki zbiornika solankowego w tym: napojów, detergentów oraz innych substancji chemicznych,</w:t>
      </w:r>
    </w:p>
    <w:p w14:paraId="436D02B4" w14:textId="76CF9773" w:rsidR="002303B3" w:rsidRPr="0083670F" w:rsidRDefault="002303B3" w:rsidP="002303B3">
      <w:pPr>
        <w:numPr>
          <w:ilvl w:val="1"/>
          <w:numId w:val="1"/>
        </w:numPr>
      </w:pPr>
      <w:r w:rsidRPr="002303B3">
        <w:t>spożywania solanki lub używania jej do celów spożywczych,</w:t>
      </w:r>
    </w:p>
    <w:p w14:paraId="489BE5D5" w14:textId="6DF6F6EF" w:rsidR="002303B3" w:rsidRDefault="0083670F" w:rsidP="002303B3">
      <w:pPr>
        <w:numPr>
          <w:ilvl w:val="1"/>
          <w:numId w:val="1"/>
        </w:numPr>
      </w:pPr>
      <w:r w:rsidRPr="0083670F">
        <w:lastRenderedPageBreak/>
        <w:t>hałaśliwego zachowania zakłócającego innym korzystanie z tężni solankowej</w:t>
      </w:r>
      <w:r w:rsidR="003C49A9">
        <w:t>,</w:t>
      </w:r>
    </w:p>
    <w:p w14:paraId="71215FF7" w14:textId="63478AD8" w:rsidR="00245531" w:rsidRPr="003C49A9" w:rsidRDefault="003C49A9" w:rsidP="002303B3">
      <w:pPr>
        <w:numPr>
          <w:ilvl w:val="1"/>
          <w:numId w:val="1"/>
        </w:numPr>
        <w:rPr>
          <w:color w:val="000000" w:themeColor="text1"/>
        </w:rPr>
      </w:pPr>
      <w:r w:rsidRPr="003C49A9">
        <w:rPr>
          <w:color w:val="000000" w:themeColor="text1"/>
        </w:rPr>
        <w:t>w</w:t>
      </w:r>
      <w:r w:rsidR="00245531" w:rsidRPr="003C49A9">
        <w:rPr>
          <w:color w:val="000000" w:themeColor="text1"/>
        </w:rPr>
        <w:t>sypywania ziemi</w:t>
      </w:r>
      <w:r w:rsidRPr="003C49A9">
        <w:rPr>
          <w:color w:val="000000" w:themeColor="text1"/>
        </w:rPr>
        <w:t>,</w:t>
      </w:r>
      <w:r w:rsidR="00245531" w:rsidRPr="003C49A9">
        <w:rPr>
          <w:color w:val="000000" w:themeColor="text1"/>
        </w:rPr>
        <w:t xml:space="preserve"> piasku i wrzucania śmieci do </w:t>
      </w:r>
      <w:r w:rsidRPr="003C49A9">
        <w:rPr>
          <w:color w:val="000000" w:themeColor="text1"/>
        </w:rPr>
        <w:t>niecki z wodą solną.</w:t>
      </w:r>
    </w:p>
    <w:p w14:paraId="1F5BAEF0" w14:textId="77777777" w:rsidR="002303B3" w:rsidRDefault="002303B3" w:rsidP="002303B3">
      <w:pPr>
        <w:numPr>
          <w:ilvl w:val="0"/>
          <w:numId w:val="1"/>
        </w:numPr>
      </w:pPr>
      <w:r>
        <w:t>Przeciwskazania do korzystania tężni solankowej</w:t>
      </w:r>
    </w:p>
    <w:p w14:paraId="59FC97D4" w14:textId="3782758A" w:rsidR="002303B3" w:rsidRDefault="002303B3" w:rsidP="002303B3">
      <w:pPr>
        <w:pStyle w:val="Akapitzlist"/>
        <w:numPr>
          <w:ilvl w:val="0"/>
          <w:numId w:val="4"/>
        </w:numPr>
      </w:pPr>
      <w:r>
        <w:t>Nie zaleca się korzystania z tężni w przypadku przeciwskazań lekarskich, w tym m.in. w sytuacji:</w:t>
      </w:r>
    </w:p>
    <w:p w14:paraId="4C2DDCCC" w14:textId="77777777" w:rsidR="002303B3" w:rsidRPr="002303B3" w:rsidRDefault="002303B3" w:rsidP="002303B3">
      <w:pPr>
        <w:pStyle w:val="Akapitzlist"/>
      </w:pPr>
      <w:r w:rsidRPr="002303B3">
        <w:t>– nadwrażliwości na jony zawarte w solance,</w:t>
      </w:r>
    </w:p>
    <w:p w14:paraId="167C5ED8" w14:textId="77777777" w:rsidR="002303B3" w:rsidRPr="002303B3" w:rsidRDefault="002303B3" w:rsidP="002303B3">
      <w:pPr>
        <w:pStyle w:val="Akapitzlist"/>
      </w:pPr>
      <w:r w:rsidRPr="002303B3">
        <w:t>– zaawansowanej astmy oskrzelowej,</w:t>
      </w:r>
    </w:p>
    <w:p w14:paraId="3C4F4B0D" w14:textId="77777777" w:rsidR="002303B3" w:rsidRPr="002303B3" w:rsidRDefault="002303B3" w:rsidP="002303B3">
      <w:pPr>
        <w:pStyle w:val="Akapitzlist"/>
      </w:pPr>
      <w:r w:rsidRPr="002303B3">
        <w:t>– stanów zapalnych oraz chorób przebiegających z podwyższoną temperaturą,</w:t>
      </w:r>
    </w:p>
    <w:p w14:paraId="48FF0F9C" w14:textId="77777777" w:rsidR="002303B3" w:rsidRPr="002303B3" w:rsidRDefault="002303B3" w:rsidP="002303B3">
      <w:pPr>
        <w:pStyle w:val="Akapitzlist"/>
      </w:pPr>
      <w:r w:rsidRPr="002303B3">
        <w:t>– nadczynności tarczycy,</w:t>
      </w:r>
    </w:p>
    <w:p w14:paraId="7C069DFF" w14:textId="77777777" w:rsidR="002303B3" w:rsidRPr="002303B3" w:rsidRDefault="002303B3" w:rsidP="002303B3">
      <w:pPr>
        <w:pStyle w:val="Akapitzlist"/>
      </w:pPr>
      <w:r w:rsidRPr="002303B3">
        <w:t>– chorób niewydolności naczyń wieńcowych serca, zwłaszcza u pacjentów z niskim ciśnieniem</w:t>
      </w:r>
    </w:p>
    <w:p w14:paraId="24E84709" w14:textId="77777777" w:rsidR="002303B3" w:rsidRPr="002303B3" w:rsidRDefault="002303B3" w:rsidP="002303B3">
      <w:pPr>
        <w:pStyle w:val="Akapitzlist"/>
      </w:pPr>
      <w:r w:rsidRPr="002303B3">
        <w:t>tętniczym.</w:t>
      </w:r>
    </w:p>
    <w:p w14:paraId="7DF9E06F" w14:textId="77777777" w:rsidR="002303B3" w:rsidRPr="002303B3" w:rsidRDefault="002303B3" w:rsidP="002303B3">
      <w:pPr>
        <w:pStyle w:val="Akapitzlist"/>
      </w:pPr>
      <w:r w:rsidRPr="002303B3">
        <w:t>– stanu po świeżo przebytym zawale mięśnia sercowego,</w:t>
      </w:r>
    </w:p>
    <w:p w14:paraId="7623FD0E" w14:textId="77777777" w:rsidR="002303B3" w:rsidRPr="002303B3" w:rsidRDefault="002303B3" w:rsidP="002303B3">
      <w:pPr>
        <w:pStyle w:val="Akapitzlist"/>
      </w:pPr>
      <w:r w:rsidRPr="002303B3">
        <w:t>– choroby nowotworowej.</w:t>
      </w:r>
    </w:p>
    <w:p w14:paraId="331E968D" w14:textId="5DAFF04E" w:rsidR="002303B3" w:rsidRDefault="002303B3" w:rsidP="002303B3">
      <w:pPr>
        <w:pStyle w:val="Akapitzlist"/>
      </w:pPr>
      <w:r w:rsidRPr="002303B3">
        <w:t>2) Przed skorzystaniem z sesji inhalacyjnej zalecana jest wcześniejsza konsultacja z lekarzem.</w:t>
      </w:r>
    </w:p>
    <w:p w14:paraId="14175F24" w14:textId="6EB6BE60" w:rsidR="002303B3" w:rsidRPr="0083670F" w:rsidRDefault="0083670F" w:rsidP="002303B3">
      <w:pPr>
        <w:numPr>
          <w:ilvl w:val="0"/>
          <w:numId w:val="1"/>
        </w:numPr>
      </w:pPr>
      <w:r w:rsidRPr="0083670F">
        <w:t>Zarządzający tężnią solankową nie ponosi odpowiedzialności za zdarzenia i wypadki spowodowane nieprzestrzeganiem niniejszego regulaminu.</w:t>
      </w:r>
    </w:p>
    <w:p w14:paraId="35056BE1" w14:textId="77777777" w:rsidR="007E137B" w:rsidRDefault="0083670F" w:rsidP="007E137B">
      <w:pPr>
        <w:numPr>
          <w:ilvl w:val="0"/>
          <w:numId w:val="1"/>
        </w:numPr>
      </w:pPr>
      <w:r w:rsidRPr="0083670F">
        <w:t>Zarządzający tężnią solankową nie ponosi odpowiedzialności za zgubione lub pozostawione na terenie obiektu przedmioty oraz pieniądze.</w:t>
      </w:r>
    </w:p>
    <w:p w14:paraId="7AE1CCB0" w14:textId="437678D8" w:rsidR="003C49A9" w:rsidRDefault="003C49A9" w:rsidP="007E137B">
      <w:pPr>
        <w:numPr>
          <w:ilvl w:val="0"/>
          <w:numId w:val="1"/>
        </w:numPr>
      </w:pPr>
      <w:r w:rsidRPr="0083670F">
        <w:t>Korzystanie z tężni solankowej jest równoznaczne z zapoznaniem się i akceptacją niniejszego regulaminu.</w:t>
      </w:r>
    </w:p>
    <w:p w14:paraId="001D3A97" w14:textId="5AC8F8C6" w:rsidR="003C49A9" w:rsidRPr="003C49A9" w:rsidRDefault="0083670F" w:rsidP="0092604F">
      <w:pPr>
        <w:numPr>
          <w:ilvl w:val="0"/>
          <w:numId w:val="1"/>
        </w:numPr>
        <w:ind w:left="709"/>
        <w:rPr>
          <w:b/>
          <w:bCs/>
        </w:rPr>
      </w:pPr>
      <w:r w:rsidRPr="0083670F">
        <w:t>Ewentualne uwagi dotyczące pracy tężni solankowej</w:t>
      </w:r>
      <w:r w:rsidR="007E137B">
        <w:t xml:space="preserve"> oraz wszelkie zniszczenia, akty dewastacji,</w:t>
      </w:r>
      <w:r w:rsidRPr="0083670F">
        <w:t xml:space="preserve"> należy zgłasza</w:t>
      </w:r>
      <w:r w:rsidR="007E137B">
        <w:t xml:space="preserve">ć do </w:t>
      </w:r>
      <w:r w:rsidR="007E137B" w:rsidRPr="000942E1">
        <w:t xml:space="preserve">Urzędu Gminy Wielka Wieś, Plac Wspólnoty 1, 32-085 Szyce, tel. 12 419 17 01 w godzinach pracy Urzędu lub e-mail: </w:t>
      </w:r>
      <w:hyperlink r:id="rId5" w:history="1">
        <w:r w:rsidR="007E137B" w:rsidRPr="000942E1">
          <w:rPr>
            <w:rStyle w:val="Hipercze"/>
          </w:rPr>
          <w:t>promocja@wielka-wies.pl</w:t>
        </w:r>
      </w:hyperlink>
      <w:r w:rsidR="00A71D1F">
        <w:t xml:space="preserve"> </w:t>
      </w:r>
      <w:r w:rsidR="00A71D1F">
        <w:br/>
        <w:t xml:space="preserve">lub </w:t>
      </w:r>
      <w:r w:rsidR="00442F1D">
        <w:t xml:space="preserve">po godzinach pracy Urzędu </w:t>
      </w:r>
      <w:r w:rsidR="003C49A9">
        <w:t xml:space="preserve">do Gminnego Zakładu Komunalnego Wielka Wieś Sp. z o.o. </w:t>
      </w:r>
      <w:r w:rsidR="003C49A9">
        <w:br/>
      </w:r>
      <w:r w:rsidR="00A71D1F" w:rsidRPr="000942E1">
        <w:t xml:space="preserve">e-mail: </w:t>
      </w:r>
      <w:hyperlink r:id="rId6" w:history="1">
        <w:r w:rsidR="00A71D1F" w:rsidRPr="00EA289E">
          <w:rPr>
            <w:rStyle w:val="Hipercze"/>
          </w:rPr>
          <w:t>gzk@gzk.wielka-wies.pl</w:t>
        </w:r>
      </w:hyperlink>
      <w:r w:rsidR="00A71D1F">
        <w:t xml:space="preserve"> </w:t>
      </w:r>
      <w:r w:rsidR="00245531">
        <w:t xml:space="preserve">, </w:t>
      </w:r>
      <w:hyperlink r:id="rId7" w:history="1">
        <w:r w:rsidR="003C49A9" w:rsidRPr="003C49A9">
          <w:rPr>
            <w:rStyle w:val="Hipercze"/>
          </w:rPr>
          <w:t>Telefon alarmowy: 605-538-414</w:t>
        </w:r>
      </w:hyperlink>
      <w:r w:rsidR="003C49A9">
        <w:rPr>
          <w:color w:val="FF0000"/>
        </w:rPr>
        <w:t xml:space="preserve"> </w:t>
      </w:r>
    </w:p>
    <w:p w14:paraId="57A7BB4B" w14:textId="4EF09F54" w:rsidR="007E137B" w:rsidRPr="003C49A9" w:rsidRDefault="007E137B" w:rsidP="003C49A9">
      <w:pPr>
        <w:ind w:left="709"/>
        <w:rPr>
          <w:b/>
          <w:bCs/>
        </w:rPr>
      </w:pPr>
      <w:r w:rsidRPr="003C49A9">
        <w:rPr>
          <w:b/>
          <w:bCs/>
        </w:rPr>
        <w:t xml:space="preserve">TELEFONY ALARMOWE: </w:t>
      </w:r>
    </w:p>
    <w:p w14:paraId="58C91658" w14:textId="77777777" w:rsidR="007E137B" w:rsidRPr="000942E1" w:rsidRDefault="007E137B" w:rsidP="007E137B">
      <w:pPr>
        <w:ind w:left="709"/>
        <w:rPr>
          <w:b/>
          <w:bCs/>
        </w:rPr>
      </w:pPr>
      <w:r w:rsidRPr="000942E1">
        <w:rPr>
          <w:b/>
          <w:bCs/>
        </w:rPr>
        <w:t xml:space="preserve">112 – numer alarmowy </w:t>
      </w:r>
    </w:p>
    <w:p w14:paraId="356B0F9A" w14:textId="77777777" w:rsidR="007E137B" w:rsidRPr="000942E1" w:rsidRDefault="007E137B" w:rsidP="007E137B">
      <w:pPr>
        <w:ind w:left="709"/>
        <w:rPr>
          <w:b/>
          <w:bCs/>
        </w:rPr>
      </w:pPr>
      <w:r w:rsidRPr="000942E1">
        <w:rPr>
          <w:b/>
          <w:bCs/>
        </w:rPr>
        <w:t xml:space="preserve">997 – Policja </w:t>
      </w:r>
    </w:p>
    <w:p w14:paraId="6742546B" w14:textId="77777777" w:rsidR="007E137B" w:rsidRPr="000942E1" w:rsidRDefault="007E137B" w:rsidP="007E137B">
      <w:pPr>
        <w:ind w:left="709"/>
        <w:rPr>
          <w:b/>
          <w:bCs/>
        </w:rPr>
      </w:pPr>
      <w:r w:rsidRPr="000942E1">
        <w:rPr>
          <w:b/>
          <w:bCs/>
        </w:rPr>
        <w:t xml:space="preserve">998 – Straż Pożarna </w:t>
      </w:r>
    </w:p>
    <w:p w14:paraId="1B650941" w14:textId="7F1B1637" w:rsidR="00C5336D" w:rsidRPr="002303B3" w:rsidRDefault="007E137B" w:rsidP="002303B3">
      <w:pPr>
        <w:ind w:left="709"/>
        <w:rPr>
          <w:b/>
          <w:bCs/>
        </w:rPr>
      </w:pPr>
      <w:r w:rsidRPr="000942E1">
        <w:rPr>
          <w:b/>
          <w:bCs/>
        </w:rPr>
        <w:t>999 – Pogotowie Ratunkowe</w:t>
      </w:r>
    </w:p>
    <w:sectPr w:rsidR="00C5336D" w:rsidRPr="002303B3" w:rsidSect="00E420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56423"/>
    <w:multiLevelType w:val="hybridMultilevel"/>
    <w:tmpl w:val="9E84B382"/>
    <w:lvl w:ilvl="0" w:tplc="04150003">
      <w:start w:val="1"/>
      <w:numFmt w:val="bullet"/>
      <w:lvlText w:val="o"/>
      <w:lvlJc w:val="left"/>
      <w:pPr>
        <w:ind w:left="1488" w:hanging="360"/>
      </w:pPr>
      <w:rPr>
        <w:rFonts w:ascii="Courier New" w:hAnsi="Courier New" w:cs="Courier New"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 w15:restartNumberingAfterBreak="0">
    <w:nsid w:val="68997AF2"/>
    <w:multiLevelType w:val="multilevel"/>
    <w:tmpl w:val="7B7E33A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753F3B"/>
    <w:multiLevelType w:val="multilevel"/>
    <w:tmpl w:val="11343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1E7ABF"/>
    <w:multiLevelType w:val="hybridMultilevel"/>
    <w:tmpl w:val="F3547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542550">
    <w:abstractNumId w:val="1"/>
  </w:num>
  <w:num w:numId="2" w16cid:durableId="182812963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6069112">
    <w:abstractNumId w:val="0"/>
  </w:num>
  <w:num w:numId="4" w16cid:durableId="364331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0F"/>
    <w:rsid w:val="001C21F7"/>
    <w:rsid w:val="002303B3"/>
    <w:rsid w:val="00245531"/>
    <w:rsid w:val="003C49A9"/>
    <w:rsid w:val="00442F1D"/>
    <w:rsid w:val="00556E9C"/>
    <w:rsid w:val="00733884"/>
    <w:rsid w:val="00735233"/>
    <w:rsid w:val="0075673B"/>
    <w:rsid w:val="007E0EFF"/>
    <w:rsid w:val="007E137B"/>
    <w:rsid w:val="0083670F"/>
    <w:rsid w:val="008D1096"/>
    <w:rsid w:val="00A13455"/>
    <w:rsid w:val="00A71D1F"/>
    <w:rsid w:val="00C24253"/>
    <w:rsid w:val="00C5336D"/>
    <w:rsid w:val="00DE6876"/>
    <w:rsid w:val="00E42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E9"/>
  <w15:chartTrackingRefBased/>
  <w15:docId w15:val="{864ABD4B-B817-4554-ADCB-D5640545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6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36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367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367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367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367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67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67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67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67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367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367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367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367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367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67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67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670F"/>
    <w:rPr>
      <w:rFonts w:eastAsiaTheme="majorEastAsia" w:cstheme="majorBidi"/>
      <w:color w:val="272727" w:themeColor="text1" w:themeTint="D8"/>
    </w:rPr>
  </w:style>
  <w:style w:type="paragraph" w:styleId="Tytu">
    <w:name w:val="Title"/>
    <w:basedOn w:val="Normalny"/>
    <w:next w:val="Normalny"/>
    <w:link w:val="TytuZnak"/>
    <w:uiPriority w:val="10"/>
    <w:qFormat/>
    <w:rsid w:val="0083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67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67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67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670F"/>
    <w:pPr>
      <w:spacing w:before="160"/>
      <w:jc w:val="center"/>
    </w:pPr>
    <w:rPr>
      <w:i/>
      <w:iCs/>
      <w:color w:val="404040" w:themeColor="text1" w:themeTint="BF"/>
    </w:rPr>
  </w:style>
  <w:style w:type="character" w:customStyle="1" w:styleId="CytatZnak">
    <w:name w:val="Cytat Znak"/>
    <w:basedOn w:val="Domylnaczcionkaakapitu"/>
    <w:link w:val="Cytat"/>
    <w:uiPriority w:val="29"/>
    <w:rsid w:val="0083670F"/>
    <w:rPr>
      <w:i/>
      <w:iCs/>
      <w:color w:val="404040" w:themeColor="text1" w:themeTint="BF"/>
    </w:rPr>
  </w:style>
  <w:style w:type="paragraph" w:styleId="Akapitzlist">
    <w:name w:val="List Paragraph"/>
    <w:basedOn w:val="Normalny"/>
    <w:uiPriority w:val="34"/>
    <w:qFormat/>
    <w:rsid w:val="0083670F"/>
    <w:pPr>
      <w:ind w:left="720"/>
      <w:contextualSpacing/>
    </w:pPr>
  </w:style>
  <w:style w:type="character" w:styleId="Wyrnienieintensywne">
    <w:name w:val="Intense Emphasis"/>
    <w:basedOn w:val="Domylnaczcionkaakapitu"/>
    <w:uiPriority w:val="21"/>
    <w:qFormat/>
    <w:rsid w:val="0083670F"/>
    <w:rPr>
      <w:i/>
      <w:iCs/>
      <w:color w:val="2F5496" w:themeColor="accent1" w:themeShade="BF"/>
    </w:rPr>
  </w:style>
  <w:style w:type="paragraph" w:styleId="Cytatintensywny">
    <w:name w:val="Intense Quote"/>
    <w:basedOn w:val="Normalny"/>
    <w:next w:val="Normalny"/>
    <w:link w:val="CytatintensywnyZnak"/>
    <w:uiPriority w:val="30"/>
    <w:qFormat/>
    <w:rsid w:val="00836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3670F"/>
    <w:rPr>
      <w:i/>
      <w:iCs/>
      <w:color w:val="2F5496" w:themeColor="accent1" w:themeShade="BF"/>
    </w:rPr>
  </w:style>
  <w:style w:type="character" w:styleId="Odwoanieintensywne">
    <w:name w:val="Intense Reference"/>
    <w:basedOn w:val="Domylnaczcionkaakapitu"/>
    <w:uiPriority w:val="32"/>
    <w:qFormat/>
    <w:rsid w:val="0083670F"/>
    <w:rPr>
      <w:b/>
      <w:bCs/>
      <w:smallCaps/>
      <w:color w:val="2F5496" w:themeColor="accent1" w:themeShade="BF"/>
      <w:spacing w:val="5"/>
    </w:rPr>
  </w:style>
  <w:style w:type="character" w:styleId="Hipercze">
    <w:name w:val="Hyperlink"/>
    <w:basedOn w:val="Domylnaczcionkaakapitu"/>
    <w:uiPriority w:val="99"/>
    <w:unhideWhenUsed/>
    <w:rsid w:val="007E137B"/>
    <w:rPr>
      <w:color w:val="0563C1" w:themeColor="hyperlink"/>
      <w:u w:val="single"/>
    </w:rPr>
  </w:style>
  <w:style w:type="character" w:customStyle="1" w:styleId="Nierozpoznanawzmianka1">
    <w:name w:val="Nierozpoznana wzmianka1"/>
    <w:basedOn w:val="Domylnaczcionkaakapitu"/>
    <w:uiPriority w:val="99"/>
    <w:semiHidden/>
    <w:unhideWhenUsed/>
    <w:rsid w:val="00A71D1F"/>
    <w:rPr>
      <w:color w:val="605E5C"/>
      <w:shd w:val="clear" w:color="auto" w:fill="E1DFDD"/>
    </w:rPr>
  </w:style>
  <w:style w:type="character" w:styleId="Nierozpoznanawzmianka">
    <w:name w:val="Unresolved Mention"/>
    <w:basedOn w:val="Domylnaczcionkaakapitu"/>
    <w:uiPriority w:val="99"/>
    <w:semiHidden/>
    <w:unhideWhenUsed/>
    <w:rsid w:val="003C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09612">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7">
          <w:marLeft w:val="0"/>
          <w:marRight w:val="0"/>
          <w:marTop w:val="0"/>
          <w:marBottom w:val="0"/>
          <w:divBdr>
            <w:top w:val="none" w:sz="0" w:space="0" w:color="auto"/>
            <w:left w:val="none" w:sz="0" w:space="0" w:color="auto"/>
            <w:bottom w:val="none" w:sz="0" w:space="0" w:color="auto"/>
            <w:right w:val="none" w:sz="0" w:space="0" w:color="auto"/>
          </w:divBdr>
          <w:divsChild>
            <w:div w:id="71122587">
              <w:marLeft w:val="0"/>
              <w:marRight w:val="0"/>
              <w:marTop w:val="0"/>
              <w:marBottom w:val="0"/>
              <w:divBdr>
                <w:top w:val="none" w:sz="0" w:space="0" w:color="auto"/>
                <w:left w:val="none" w:sz="0" w:space="0" w:color="auto"/>
                <w:bottom w:val="none" w:sz="0" w:space="0" w:color="auto"/>
                <w:right w:val="none" w:sz="0" w:space="0" w:color="auto"/>
              </w:divBdr>
              <w:divsChild>
                <w:div w:id="11566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7205">
          <w:marLeft w:val="0"/>
          <w:marRight w:val="0"/>
          <w:marTop w:val="0"/>
          <w:marBottom w:val="0"/>
          <w:divBdr>
            <w:top w:val="none" w:sz="0" w:space="0" w:color="auto"/>
            <w:left w:val="none" w:sz="0" w:space="0" w:color="auto"/>
            <w:bottom w:val="none" w:sz="0" w:space="0" w:color="auto"/>
            <w:right w:val="none" w:sz="0" w:space="0" w:color="auto"/>
          </w:divBdr>
          <w:divsChild>
            <w:div w:id="948269726">
              <w:marLeft w:val="0"/>
              <w:marRight w:val="0"/>
              <w:marTop w:val="0"/>
              <w:marBottom w:val="0"/>
              <w:divBdr>
                <w:top w:val="none" w:sz="0" w:space="0" w:color="auto"/>
                <w:left w:val="none" w:sz="0" w:space="0" w:color="auto"/>
                <w:bottom w:val="none" w:sz="0" w:space="0" w:color="auto"/>
                <w:right w:val="none" w:sz="0" w:space="0" w:color="auto"/>
              </w:divBdr>
              <w:divsChild>
                <w:div w:id="20718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3886">
      <w:bodyDiv w:val="1"/>
      <w:marLeft w:val="0"/>
      <w:marRight w:val="0"/>
      <w:marTop w:val="0"/>
      <w:marBottom w:val="0"/>
      <w:divBdr>
        <w:top w:val="none" w:sz="0" w:space="0" w:color="auto"/>
        <w:left w:val="none" w:sz="0" w:space="0" w:color="auto"/>
        <w:bottom w:val="none" w:sz="0" w:space="0" w:color="auto"/>
        <w:right w:val="none" w:sz="0" w:space="0" w:color="auto"/>
      </w:divBdr>
      <w:divsChild>
        <w:div w:id="1551261078">
          <w:marLeft w:val="0"/>
          <w:marRight w:val="0"/>
          <w:marTop w:val="0"/>
          <w:marBottom w:val="0"/>
          <w:divBdr>
            <w:top w:val="none" w:sz="0" w:space="0" w:color="auto"/>
            <w:left w:val="none" w:sz="0" w:space="0" w:color="auto"/>
            <w:bottom w:val="none" w:sz="0" w:space="0" w:color="auto"/>
            <w:right w:val="none" w:sz="0" w:space="0" w:color="auto"/>
          </w:divBdr>
          <w:divsChild>
            <w:div w:id="1338997654">
              <w:marLeft w:val="0"/>
              <w:marRight w:val="0"/>
              <w:marTop w:val="0"/>
              <w:marBottom w:val="0"/>
              <w:divBdr>
                <w:top w:val="none" w:sz="0" w:space="0" w:color="auto"/>
                <w:left w:val="none" w:sz="0" w:space="0" w:color="auto"/>
                <w:bottom w:val="none" w:sz="0" w:space="0" w:color="auto"/>
                <w:right w:val="none" w:sz="0" w:space="0" w:color="auto"/>
              </w:divBdr>
              <w:divsChild>
                <w:div w:id="17515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938">
          <w:marLeft w:val="0"/>
          <w:marRight w:val="0"/>
          <w:marTop w:val="0"/>
          <w:marBottom w:val="0"/>
          <w:divBdr>
            <w:top w:val="none" w:sz="0" w:space="0" w:color="auto"/>
            <w:left w:val="none" w:sz="0" w:space="0" w:color="auto"/>
            <w:bottom w:val="none" w:sz="0" w:space="0" w:color="auto"/>
            <w:right w:val="none" w:sz="0" w:space="0" w:color="auto"/>
          </w:divBdr>
          <w:divsChild>
            <w:div w:id="316110452">
              <w:marLeft w:val="0"/>
              <w:marRight w:val="0"/>
              <w:marTop w:val="0"/>
              <w:marBottom w:val="0"/>
              <w:divBdr>
                <w:top w:val="none" w:sz="0" w:space="0" w:color="auto"/>
                <w:left w:val="none" w:sz="0" w:space="0" w:color="auto"/>
                <w:bottom w:val="none" w:sz="0" w:space="0" w:color="auto"/>
                <w:right w:val="none" w:sz="0" w:space="0" w:color="auto"/>
              </w:divBdr>
              <w:divsChild>
                <w:div w:id="12546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605538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zk@gzk.wielka-wies.pl" TargetMode="External"/><Relationship Id="rId5" Type="http://schemas.openxmlformats.org/officeDocument/2006/relationships/hyperlink" Target="mailto:promocja@wielka-wies.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5</cp:revision>
  <cp:lastPrinted>2025-07-30T10:44:00Z</cp:lastPrinted>
  <dcterms:created xsi:type="dcterms:W3CDTF">2025-07-29T09:28:00Z</dcterms:created>
  <dcterms:modified xsi:type="dcterms:W3CDTF">2025-07-30T10:48:00Z</dcterms:modified>
</cp:coreProperties>
</file>